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outlineLvl w:val="0"/>
        <w:rPr>
          <w:rFonts w:hint="eastAsia" w:eastAsia="黑体" w:cs="Calibri"/>
          <w:sz w:val="36"/>
          <w:szCs w:val="36"/>
        </w:rPr>
      </w:pPr>
      <w:r>
        <w:rPr>
          <w:rFonts w:hint="eastAsia" w:eastAsia="黑体" w:cs="Calibri"/>
          <w:sz w:val="36"/>
          <w:szCs w:val="36"/>
        </w:rPr>
        <w:t>台州市一般企业投资项目审批（办理建筑许可）</w:t>
      </w:r>
    </w:p>
    <w:p>
      <w:pPr>
        <w:spacing w:line="360" w:lineRule="auto"/>
        <w:jc w:val="center"/>
        <w:outlineLvl w:val="0"/>
        <w:rPr>
          <w:rFonts w:hint="eastAsia" w:ascii="仿宋" w:hAnsi="仿宋" w:eastAsia="仿宋" w:cs="仿宋_GB2312"/>
          <w:sz w:val="36"/>
          <w:szCs w:val="36"/>
        </w:rPr>
      </w:pPr>
      <w:r>
        <w:rPr>
          <w:rFonts w:hint="eastAsia" w:eastAsia="黑体" w:cs="Calibri"/>
          <w:sz w:val="36"/>
          <w:szCs w:val="36"/>
          <w:lang w:eastAsia="zh-CN"/>
        </w:rPr>
        <w:t>立项阶段</w:t>
      </w:r>
      <w:r>
        <w:rPr>
          <w:rFonts w:hint="eastAsia" w:eastAsia="黑体" w:cs="Calibri"/>
          <w:sz w:val="36"/>
          <w:szCs w:val="36"/>
        </w:rPr>
        <w:t>“一件事”办事指南</w:t>
      </w:r>
    </w:p>
    <w:p>
      <w:pPr>
        <w:ind w:firstLine="640" w:firstLineChars="200"/>
        <w:rPr>
          <w:rFonts w:hint="eastAsia" w:ascii="仿宋" w:hAnsi="仿宋" w:eastAsia="仿宋" w:cs="仿宋_GB2312"/>
          <w:sz w:val="32"/>
          <w:szCs w:val="32"/>
          <w:lang w:eastAsia="zh-CN"/>
        </w:rPr>
      </w:pPr>
      <w:r>
        <w:rPr>
          <w:rFonts w:hint="eastAsia" w:ascii="仿宋" w:hAnsi="仿宋" w:eastAsia="仿宋" w:cs="仿宋_GB2312"/>
          <w:sz w:val="32"/>
          <w:szCs w:val="32"/>
        </w:rPr>
        <w:t>我局按照“一类事项一个部门统筹，一个阶段同类事项整合”为原则，积极探索审批事项整合优化。</w:t>
      </w:r>
      <w:r>
        <w:rPr>
          <w:rFonts w:hint="eastAsia" w:ascii="仿宋" w:hAnsi="仿宋" w:eastAsia="仿宋" w:cs="仿宋_GB2312"/>
          <w:sz w:val="32"/>
          <w:szCs w:val="32"/>
          <w:lang w:eastAsia="zh-CN"/>
        </w:rPr>
        <w:t>对标国际一流营商环境，按照减事项、减材料、减环节、减时间、减费用的五减要求，</w:t>
      </w:r>
      <w:r>
        <w:rPr>
          <w:rFonts w:hint="eastAsia" w:ascii="仿宋" w:hAnsi="仿宋" w:eastAsia="仿宋" w:cs="仿宋_GB2312"/>
          <w:sz w:val="32"/>
          <w:szCs w:val="32"/>
        </w:rPr>
        <w:t>我局与发改联合牵头全市建筑许可四个阶段一件事办事指南及方案制订</w:t>
      </w:r>
      <w:r>
        <w:rPr>
          <w:rFonts w:hint="eastAsia" w:ascii="仿宋" w:hAnsi="仿宋" w:eastAsia="仿宋" w:cs="仿宋_GB2312"/>
          <w:sz w:val="32"/>
          <w:szCs w:val="32"/>
          <w:lang w:eastAsia="zh-CN"/>
        </w:rPr>
        <w:t>，</w:t>
      </w:r>
      <w:r>
        <w:rPr>
          <w:rFonts w:hint="eastAsia" w:ascii="仿宋" w:hAnsi="仿宋" w:eastAsia="仿宋" w:cs="仿宋_GB2312"/>
          <w:sz w:val="32"/>
          <w:szCs w:val="32"/>
        </w:rPr>
        <w:t>指定天台、集聚区为蓝本</w:t>
      </w:r>
      <w:r>
        <w:rPr>
          <w:rFonts w:hint="eastAsia" w:ascii="仿宋" w:hAnsi="仿宋" w:eastAsia="仿宋" w:cs="仿宋_GB2312"/>
          <w:sz w:val="32"/>
          <w:szCs w:val="32"/>
          <w:lang w:eastAsia="zh-CN"/>
        </w:rPr>
        <w:t>，重新出台《台州市一般企业投资项目审批（办理建筑许可）立项阶段“一件事”办事指南》。</w:t>
      </w:r>
    </w:p>
    <w:p>
      <w:pPr>
        <w:ind w:firstLine="640" w:firstLineChars="200"/>
        <w:rPr>
          <w:rFonts w:hint="eastAsia" w:ascii="仿宋" w:hAnsi="仿宋" w:eastAsia="仿宋" w:cs="仿宋_GB2312"/>
          <w:sz w:val="32"/>
          <w:szCs w:val="32"/>
          <w:lang w:eastAsia="zh-CN"/>
        </w:rPr>
      </w:pPr>
    </w:p>
    <w:p>
      <w:pPr>
        <w:pStyle w:val="2"/>
        <w:spacing w:before="0" w:after="0" w:line="560" w:lineRule="exact"/>
        <w:jc w:val="center"/>
        <w:rPr>
          <w:rFonts w:hint="eastAsia" w:ascii="仿宋" w:hAnsi="仿宋" w:eastAsia="仿宋" w:cs="仿宋"/>
          <w:b/>
          <w:bCs w:val="0"/>
          <w:color w:val="000000"/>
        </w:rPr>
      </w:pPr>
      <w:r>
        <w:rPr>
          <w:rFonts w:hint="eastAsia" w:ascii="仿宋" w:hAnsi="仿宋" w:eastAsia="仿宋" w:cs="仿宋"/>
          <w:b/>
          <w:bCs w:val="0"/>
          <w:color w:val="000000"/>
        </w:rPr>
        <w:t>适用范围</w:t>
      </w:r>
    </w:p>
    <w:p>
      <w:pPr>
        <w:rPr>
          <w:rFonts w:hint="eastAsia" w:ascii="仿宋_GB2312" w:eastAsia="仿宋_GB2312"/>
          <w:color w:val="000000"/>
          <w:sz w:val="32"/>
        </w:rPr>
      </w:pPr>
      <w:r>
        <w:rPr>
          <w:rFonts w:hint="eastAsia" w:ascii="仿宋_GB2312" w:eastAsia="仿宋_GB2312"/>
          <w:color w:val="000000"/>
          <w:sz w:val="32"/>
        </w:rPr>
        <w:t>台州市域内一般企业投资项目（含外商投资），以项目赋码为起点，到完成建设用地（含临时建设用地）规划许可。</w:t>
      </w:r>
    </w:p>
    <w:p>
      <w:pPr>
        <w:rPr>
          <w:rFonts w:hint="eastAsia" w:ascii="仿宋_GB2312" w:eastAsia="仿宋_GB2312"/>
          <w:color w:val="000000"/>
          <w:sz w:val="32"/>
        </w:rPr>
      </w:pPr>
    </w:p>
    <w:p>
      <w:pPr>
        <w:jc w:val="center"/>
        <w:rPr>
          <w:rFonts w:hint="eastAsia" w:ascii="仿宋_GB2312" w:eastAsia="仿宋_GB2312"/>
          <w:color w:val="000000"/>
          <w:sz w:val="32"/>
          <w:lang w:eastAsia="zh-CN"/>
        </w:rPr>
      </w:pPr>
      <w:r>
        <w:rPr>
          <w:rFonts w:hint="eastAsia" w:ascii="仿宋" w:hAnsi="仿宋" w:eastAsia="仿宋" w:cs="仿宋_GB2312"/>
          <w:b/>
          <w:bCs/>
          <w:sz w:val="32"/>
          <w:szCs w:val="32"/>
          <w:lang w:eastAsia="zh-CN"/>
        </w:rPr>
        <w:t>申请材料目录</w:t>
      </w:r>
    </w:p>
    <w:tbl>
      <w:tblPr>
        <w:tblStyle w:val="3"/>
        <w:tblW w:w="882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52"/>
        <w:gridCol w:w="2723"/>
        <w:gridCol w:w="4745"/>
        <w:gridCol w:w="7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tblHeader/>
          <w:jc w:val="center"/>
        </w:trPr>
        <w:tc>
          <w:tcPr>
            <w:tcW w:w="652" w:type="dxa"/>
            <w:noWrap w:val="0"/>
            <w:vAlign w:val="center"/>
          </w:tcPr>
          <w:p>
            <w:pPr>
              <w:adjustRightInd w:val="0"/>
              <w:spacing w:line="240" w:lineRule="exact"/>
              <w:jc w:val="center"/>
              <w:rPr>
                <w:rFonts w:eastAsia="仿宋_GB2312"/>
                <w:b/>
                <w:bCs/>
                <w:color w:val="000000"/>
                <w:sz w:val="22"/>
                <w:szCs w:val="22"/>
                <w:shd w:val="clear" w:color="auto" w:fill="FFFFFF"/>
              </w:rPr>
            </w:pPr>
            <w:r>
              <w:rPr>
                <w:rFonts w:eastAsia="仿宋_GB2312"/>
                <w:b/>
                <w:bCs/>
                <w:color w:val="000000"/>
                <w:sz w:val="22"/>
                <w:szCs w:val="22"/>
                <w:shd w:val="clear" w:color="auto" w:fill="FFFFFF"/>
              </w:rPr>
              <w:t>序列</w:t>
            </w:r>
          </w:p>
        </w:tc>
        <w:tc>
          <w:tcPr>
            <w:tcW w:w="2723" w:type="dxa"/>
            <w:noWrap w:val="0"/>
            <w:vAlign w:val="center"/>
          </w:tcPr>
          <w:p>
            <w:pPr>
              <w:adjustRightInd w:val="0"/>
              <w:spacing w:line="240" w:lineRule="exact"/>
              <w:jc w:val="center"/>
              <w:rPr>
                <w:rFonts w:eastAsia="仿宋_GB2312"/>
                <w:b/>
                <w:bCs/>
                <w:color w:val="000000"/>
                <w:sz w:val="22"/>
                <w:szCs w:val="22"/>
                <w:shd w:val="clear" w:color="auto" w:fill="FFFFFF"/>
              </w:rPr>
            </w:pPr>
            <w:r>
              <w:rPr>
                <w:rFonts w:eastAsia="仿宋_GB2312"/>
                <w:b/>
                <w:bCs/>
                <w:color w:val="000000"/>
                <w:sz w:val="22"/>
                <w:szCs w:val="22"/>
                <w:shd w:val="clear" w:color="auto" w:fill="FFFFFF"/>
              </w:rPr>
              <w:t>审批事项名称</w:t>
            </w:r>
          </w:p>
        </w:tc>
        <w:tc>
          <w:tcPr>
            <w:tcW w:w="4745" w:type="dxa"/>
            <w:noWrap w:val="0"/>
            <w:vAlign w:val="center"/>
          </w:tcPr>
          <w:p>
            <w:pPr>
              <w:spacing w:line="240" w:lineRule="exact"/>
              <w:jc w:val="center"/>
              <w:rPr>
                <w:rFonts w:eastAsia="仿宋_GB2312"/>
                <w:b/>
                <w:bCs/>
                <w:color w:val="000000"/>
                <w:sz w:val="22"/>
                <w:szCs w:val="22"/>
                <w:shd w:val="clear" w:color="auto" w:fill="FFFFFF"/>
              </w:rPr>
            </w:pPr>
            <w:r>
              <w:rPr>
                <w:rFonts w:eastAsia="仿宋_GB2312"/>
                <w:b/>
                <w:bCs/>
                <w:color w:val="000000"/>
                <w:sz w:val="22"/>
                <w:szCs w:val="22"/>
                <w:shd w:val="clear" w:color="auto" w:fill="FFFFFF"/>
              </w:rPr>
              <w:t>申报材料</w:t>
            </w:r>
          </w:p>
        </w:tc>
        <w:tc>
          <w:tcPr>
            <w:tcW w:w="707" w:type="dxa"/>
            <w:noWrap w:val="0"/>
            <w:vAlign w:val="center"/>
          </w:tcPr>
          <w:p>
            <w:pPr>
              <w:spacing w:line="240" w:lineRule="exact"/>
              <w:jc w:val="center"/>
              <w:rPr>
                <w:rFonts w:eastAsia="仿宋_GB2312"/>
                <w:b/>
                <w:bCs/>
                <w:color w:val="000000"/>
                <w:sz w:val="22"/>
                <w:szCs w:val="22"/>
                <w:shd w:val="clear" w:color="auto" w:fill="FFFFFF"/>
              </w:rPr>
            </w:pPr>
            <w:r>
              <w:rPr>
                <w:rFonts w:eastAsia="仿宋_GB2312"/>
                <w:b/>
                <w:bCs/>
                <w:color w:val="000000"/>
                <w:sz w:val="22"/>
                <w:szCs w:val="22"/>
                <w:shd w:val="clear" w:color="auto" w:fill="FFFFFF"/>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652" w:type="dxa"/>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1</w:t>
            </w:r>
          </w:p>
        </w:tc>
        <w:tc>
          <w:tcPr>
            <w:tcW w:w="2723" w:type="dxa"/>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企业投资（含外商投资）项目备案（基本建设）</w:t>
            </w:r>
          </w:p>
        </w:tc>
        <w:tc>
          <w:tcPr>
            <w:tcW w:w="4745" w:type="dxa"/>
            <w:noWrap w:val="0"/>
            <w:vAlign w:val="center"/>
          </w:tcPr>
          <w:p>
            <w:pPr>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w:t>
            </w:r>
          </w:p>
        </w:tc>
        <w:tc>
          <w:tcPr>
            <w:tcW w:w="707" w:type="dxa"/>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652" w:type="dxa"/>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2</w:t>
            </w:r>
          </w:p>
        </w:tc>
        <w:tc>
          <w:tcPr>
            <w:tcW w:w="2723" w:type="dxa"/>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企业投资（含外商投资）项目备案（技术改造）</w:t>
            </w:r>
          </w:p>
        </w:tc>
        <w:tc>
          <w:tcPr>
            <w:tcW w:w="4745" w:type="dxa"/>
            <w:noWrap w:val="0"/>
            <w:vAlign w:val="center"/>
          </w:tcPr>
          <w:p>
            <w:pPr>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w:t>
            </w:r>
          </w:p>
        </w:tc>
        <w:tc>
          <w:tcPr>
            <w:tcW w:w="707" w:type="dxa"/>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2" w:type="dxa"/>
            <w:vMerge w:val="restart"/>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3</w:t>
            </w:r>
          </w:p>
          <w:p>
            <w:pPr>
              <w:adjustRightInd w:val="0"/>
              <w:spacing w:line="240" w:lineRule="exact"/>
              <w:jc w:val="center"/>
              <w:rPr>
                <w:rFonts w:eastAsia="仿宋_GB2312"/>
                <w:color w:val="000000"/>
                <w:sz w:val="22"/>
                <w:szCs w:val="22"/>
                <w:shd w:val="clear" w:color="auto" w:fill="FFFFFF"/>
              </w:rPr>
            </w:pPr>
          </w:p>
        </w:tc>
        <w:tc>
          <w:tcPr>
            <w:tcW w:w="2723" w:type="dxa"/>
            <w:vMerge w:val="restart"/>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企业投资（含外商投资）项目核准（基本建设）</w:t>
            </w:r>
          </w:p>
          <w:p>
            <w:pPr>
              <w:adjustRightInd w:val="0"/>
              <w:spacing w:line="240" w:lineRule="exact"/>
              <w:rPr>
                <w:rFonts w:eastAsia="仿宋_GB2312"/>
                <w:color w:val="000000"/>
                <w:sz w:val="22"/>
                <w:szCs w:val="22"/>
                <w:shd w:val="clear" w:color="auto" w:fill="FFFFFF"/>
              </w:rPr>
            </w:pPr>
          </w:p>
        </w:tc>
        <w:tc>
          <w:tcPr>
            <w:tcW w:w="4745" w:type="dxa"/>
            <w:tcBorders>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项目核准申请文件</w:t>
            </w:r>
          </w:p>
        </w:tc>
        <w:tc>
          <w:tcPr>
            <w:tcW w:w="707" w:type="dxa"/>
            <w:tcBorders>
              <w:bottom w:val="single" w:color="auto" w:sz="4" w:space="0"/>
            </w:tcBorders>
            <w:noWrap w:val="0"/>
            <w:vAlign w:val="center"/>
          </w:tcPr>
          <w:p>
            <w:pPr>
              <w:spacing w:line="240" w:lineRule="exact"/>
              <w:ind w:left="420"/>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项目申请报告</w:t>
            </w:r>
          </w:p>
        </w:tc>
        <w:tc>
          <w:tcPr>
            <w:tcW w:w="707" w:type="dxa"/>
            <w:tcBorders>
              <w:top w:val="single" w:color="auto" w:sz="4" w:space="0"/>
              <w:bottom w:val="single" w:color="auto" w:sz="4" w:space="0"/>
            </w:tcBorders>
            <w:noWrap w:val="0"/>
            <w:vAlign w:val="center"/>
          </w:tcPr>
          <w:p>
            <w:pPr>
              <w:spacing w:line="240" w:lineRule="exact"/>
              <w:ind w:left="420"/>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8"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选址意见书（仅指以划拨方式提供国有土地使用权的项目）</w:t>
            </w:r>
          </w:p>
        </w:tc>
        <w:tc>
          <w:tcPr>
            <w:tcW w:w="707" w:type="dxa"/>
            <w:tcBorders>
              <w:top w:val="single" w:color="auto" w:sz="4" w:space="0"/>
              <w:bottom w:val="single" w:color="auto" w:sz="4" w:space="0"/>
            </w:tcBorders>
            <w:noWrap w:val="0"/>
            <w:vAlign w:val="center"/>
          </w:tcPr>
          <w:p>
            <w:pPr>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共享材料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用地（用海）预审意见（国土资源部门明确可以不进行用地预审的项目除外）</w:t>
            </w:r>
          </w:p>
        </w:tc>
        <w:tc>
          <w:tcPr>
            <w:tcW w:w="707" w:type="dxa"/>
            <w:tcBorders>
              <w:top w:val="single" w:color="auto" w:sz="4" w:space="0"/>
              <w:bottom w:val="single" w:color="auto" w:sz="4" w:space="0"/>
            </w:tcBorders>
            <w:noWrap w:val="0"/>
            <w:vAlign w:val="center"/>
          </w:tcPr>
          <w:p>
            <w:pPr>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共享材料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1"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工程建设项目招标范围、招标方式、招标组织形式申请文件</w:t>
            </w:r>
          </w:p>
        </w:tc>
        <w:tc>
          <w:tcPr>
            <w:tcW w:w="707" w:type="dxa"/>
            <w:tcBorders>
              <w:top w:val="single" w:color="auto" w:sz="4" w:space="0"/>
            </w:tcBorders>
            <w:noWrap w:val="0"/>
            <w:vAlign w:val="center"/>
          </w:tcPr>
          <w:p>
            <w:pPr>
              <w:spacing w:line="240" w:lineRule="exact"/>
              <w:ind w:left="420"/>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652" w:type="dxa"/>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4</w:t>
            </w:r>
          </w:p>
        </w:tc>
        <w:tc>
          <w:tcPr>
            <w:tcW w:w="2723" w:type="dxa"/>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企业投资（含外商投资）项目核准（技术改造）</w:t>
            </w:r>
          </w:p>
        </w:tc>
        <w:tc>
          <w:tcPr>
            <w:tcW w:w="4745" w:type="dxa"/>
            <w:tcBorders>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项目核准申请文件</w:t>
            </w:r>
          </w:p>
        </w:tc>
        <w:tc>
          <w:tcPr>
            <w:tcW w:w="707" w:type="dxa"/>
            <w:tcBorders>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2" w:type="dxa"/>
            <w:vMerge w:val="restart"/>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5</w:t>
            </w:r>
          </w:p>
        </w:tc>
        <w:tc>
          <w:tcPr>
            <w:tcW w:w="2723" w:type="dxa"/>
            <w:vMerge w:val="restart"/>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 xml:space="preserve">建设项目选址审批 </w:t>
            </w:r>
          </w:p>
        </w:tc>
        <w:tc>
          <w:tcPr>
            <w:tcW w:w="4745" w:type="dxa"/>
            <w:tcBorders>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建设项目选址申请书</w:t>
            </w:r>
          </w:p>
        </w:tc>
        <w:tc>
          <w:tcPr>
            <w:tcW w:w="707" w:type="dxa"/>
            <w:tcBorders>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标明拟选址位置的地形图(包括电子文件)</w:t>
            </w:r>
          </w:p>
        </w:tc>
        <w:tc>
          <w:tcPr>
            <w:tcW w:w="707" w:type="dxa"/>
            <w:tcBorders>
              <w:top w:val="single" w:color="auto" w:sz="4" w:space="0"/>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652" w:type="dxa"/>
            <w:vMerge w:val="restart"/>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6</w:t>
            </w:r>
          </w:p>
        </w:tc>
        <w:tc>
          <w:tcPr>
            <w:tcW w:w="2723" w:type="dxa"/>
            <w:vMerge w:val="restart"/>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建设项目用地预审</w:t>
            </w:r>
          </w:p>
        </w:tc>
        <w:tc>
          <w:tcPr>
            <w:tcW w:w="4745" w:type="dxa"/>
            <w:tcBorders>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标明项目用地范围的乡（镇）土地利用总体规划局部图、土地利用现状图及其他相关图件</w:t>
            </w:r>
          </w:p>
        </w:tc>
        <w:tc>
          <w:tcPr>
            <w:tcW w:w="707" w:type="dxa"/>
            <w:tcBorders>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可行性研究报告、核准或备案项目申请报告</w:t>
            </w:r>
          </w:p>
        </w:tc>
        <w:tc>
          <w:tcPr>
            <w:tcW w:w="707" w:type="dxa"/>
            <w:tcBorders>
              <w:top w:val="single" w:color="auto" w:sz="4" w:space="0"/>
              <w:bottom w:val="single" w:color="auto" w:sz="4" w:space="0"/>
            </w:tcBorders>
            <w:noWrap w:val="0"/>
            <w:vAlign w:val="center"/>
          </w:tcPr>
          <w:p>
            <w:pPr>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共享材料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土地勘测定界技术报告及图</w:t>
            </w:r>
          </w:p>
        </w:tc>
        <w:tc>
          <w:tcPr>
            <w:tcW w:w="707" w:type="dxa"/>
            <w:tcBorders>
              <w:top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restart"/>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7</w:t>
            </w:r>
          </w:p>
        </w:tc>
        <w:tc>
          <w:tcPr>
            <w:tcW w:w="2723" w:type="dxa"/>
            <w:vMerge w:val="restart"/>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风景名胜区内建设活动审批</w:t>
            </w:r>
          </w:p>
        </w:tc>
        <w:tc>
          <w:tcPr>
            <w:tcW w:w="4745" w:type="dxa"/>
            <w:tcBorders>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涉及风景名胜区建设项目选址申请书</w:t>
            </w:r>
          </w:p>
        </w:tc>
        <w:tc>
          <w:tcPr>
            <w:tcW w:w="707" w:type="dxa"/>
            <w:tcBorders>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项目风景区规划符合性文件</w:t>
            </w:r>
          </w:p>
        </w:tc>
        <w:tc>
          <w:tcPr>
            <w:tcW w:w="707" w:type="dxa"/>
            <w:tcBorders>
              <w:top w:val="single" w:color="auto" w:sz="4" w:space="0"/>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标明拟选址位置的地形图</w:t>
            </w:r>
          </w:p>
        </w:tc>
        <w:tc>
          <w:tcPr>
            <w:tcW w:w="707" w:type="dxa"/>
            <w:tcBorders>
              <w:top w:val="single" w:color="auto" w:sz="4" w:space="0"/>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专家论证意见</w:t>
            </w:r>
          </w:p>
        </w:tc>
        <w:tc>
          <w:tcPr>
            <w:tcW w:w="707" w:type="dxa"/>
            <w:tcBorders>
              <w:top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8</w:t>
            </w:r>
          </w:p>
        </w:tc>
        <w:tc>
          <w:tcPr>
            <w:tcW w:w="2723" w:type="dxa"/>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移民安置规划审核</w:t>
            </w:r>
          </w:p>
        </w:tc>
        <w:tc>
          <w:tcPr>
            <w:tcW w:w="4745" w:type="dxa"/>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移民安置规划及设计文件</w:t>
            </w:r>
          </w:p>
        </w:tc>
        <w:tc>
          <w:tcPr>
            <w:tcW w:w="707" w:type="dxa"/>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9</w:t>
            </w:r>
          </w:p>
        </w:tc>
        <w:tc>
          <w:tcPr>
            <w:tcW w:w="2723" w:type="dxa"/>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社会稳定风险评估报告审查</w:t>
            </w:r>
          </w:p>
        </w:tc>
        <w:tc>
          <w:tcPr>
            <w:tcW w:w="4745" w:type="dxa"/>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社会风险评估报告</w:t>
            </w:r>
          </w:p>
        </w:tc>
        <w:tc>
          <w:tcPr>
            <w:tcW w:w="707" w:type="dxa"/>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restart"/>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10</w:t>
            </w:r>
          </w:p>
        </w:tc>
        <w:tc>
          <w:tcPr>
            <w:tcW w:w="2723" w:type="dxa"/>
            <w:vMerge w:val="restart"/>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无居民海岛开发利用审批</w:t>
            </w:r>
          </w:p>
        </w:tc>
        <w:tc>
          <w:tcPr>
            <w:tcW w:w="4745" w:type="dxa"/>
            <w:tcBorders>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海岛及开发利用位置的坐标图</w:t>
            </w:r>
          </w:p>
        </w:tc>
        <w:tc>
          <w:tcPr>
            <w:tcW w:w="707" w:type="dxa"/>
            <w:tcBorders>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开发利用具体方案</w:t>
            </w:r>
          </w:p>
        </w:tc>
        <w:tc>
          <w:tcPr>
            <w:tcW w:w="707" w:type="dxa"/>
            <w:tcBorders>
              <w:top w:val="single" w:color="auto" w:sz="4" w:space="0"/>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 xml:space="preserve">开发利用项目论证报告 </w:t>
            </w:r>
          </w:p>
        </w:tc>
        <w:tc>
          <w:tcPr>
            <w:tcW w:w="707" w:type="dxa"/>
            <w:tcBorders>
              <w:top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11</w:t>
            </w:r>
          </w:p>
        </w:tc>
        <w:tc>
          <w:tcPr>
            <w:tcW w:w="2723" w:type="dxa"/>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海域使用许可</w:t>
            </w:r>
          </w:p>
        </w:tc>
        <w:tc>
          <w:tcPr>
            <w:tcW w:w="4745" w:type="dxa"/>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海域使用论证材料</w:t>
            </w:r>
          </w:p>
        </w:tc>
        <w:tc>
          <w:tcPr>
            <w:tcW w:w="707" w:type="dxa"/>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restart"/>
            <w:noWrap w:val="0"/>
            <w:vAlign w:val="center"/>
          </w:tcPr>
          <w:p>
            <w:pPr>
              <w:adjustRightInd w:val="0"/>
              <w:spacing w:line="240" w:lineRule="exact"/>
              <w:jc w:val="center"/>
              <w:rPr>
                <w:rFonts w:eastAsia="仿宋_GB2312"/>
                <w:color w:val="000000"/>
                <w:sz w:val="22"/>
                <w:szCs w:val="22"/>
                <w:shd w:val="clear" w:color="auto" w:fill="FFFFFF"/>
              </w:rPr>
            </w:pPr>
            <w:r>
              <w:rPr>
                <w:rFonts w:eastAsia="仿宋_GB2312"/>
                <w:color w:val="000000"/>
                <w:sz w:val="22"/>
                <w:szCs w:val="22"/>
                <w:shd w:val="clear" w:color="auto" w:fill="FFFFFF"/>
              </w:rPr>
              <w:t>12</w:t>
            </w:r>
          </w:p>
        </w:tc>
        <w:tc>
          <w:tcPr>
            <w:tcW w:w="2723" w:type="dxa"/>
            <w:vMerge w:val="restart"/>
            <w:noWrap w:val="0"/>
            <w:vAlign w:val="center"/>
          </w:tcPr>
          <w:p>
            <w:pPr>
              <w:adjustRightInd w:val="0"/>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建设用地（含临时建设用地）规划许可</w:t>
            </w:r>
          </w:p>
        </w:tc>
        <w:tc>
          <w:tcPr>
            <w:tcW w:w="4745" w:type="dxa"/>
            <w:tcBorders>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用地红线图</w:t>
            </w:r>
          </w:p>
        </w:tc>
        <w:tc>
          <w:tcPr>
            <w:tcW w:w="707" w:type="dxa"/>
            <w:tcBorders>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6" w:hRule="exact"/>
          <w:jc w:val="center"/>
        </w:trPr>
        <w:tc>
          <w:tcPr>
            <w:tcW w:w="652" w:type="dxa"/>
            <w:vMerge w:val="continue"/>
            <w:noWrap w:val="0"/>
            <w:vAlign w:val="center"/>
          </w:tcPr>
          <w:p>
            <w:pPr>
              <w:adjustRightInd w:val="0"/>
              <w:spacing w:line="240" w:lineRule="exact"/>
              <w:jc w:val="center"/>
              <w:rPr>
                <w:rFonts w:eastAsia="仿宋_GB2312"/>
                <w:color w:val="000000"/>
                <w:sz w:val="22"/>
                <w:szCs w:val="22"/>
                <w:shd w:val="clear" w:color="auto" w:fill="FFFFFF"/>
              </w:rPr>
            </w:pPr>
          </w:p>
        </w:tc>
        <w:tc>
          <w:tcPr>
            <w:tcW w:w="2723" w:type="dxa"/>
            <w:vMerge w:val="continue"/>
            <w:noWrap w:val="0"/>
            <w:vAlign w:val="center"/>
          </w:tcPr>
          <w:p>
            <w:pPr>
              <w:adjustRightInd w:val="0"/>
              <w:spacing w:line="240" w:lineRule="exact"/>
              <w:rPr>
                <w:rFonts w:eastAsia="仿宋_GB2312"/>
                <w:color w:val="000000"/>
                <w:sz w:val="22"/>
                <w:szCs w:val="22"/>
                <w:shd w:val="clear" w:color="auto" w:fill="FFFFFF"/>
              </w:rPr>
            </w:pPr>
          </w:p>
        </w:tc>
        <w:tc>
          <w:tcPr>
            <w:tcW w:w="4745" w:type="dxa"/>
            <w:tcBorders>
              <w:top w:val="single" w:color="auto" w:sz="4" w:space="0"/>
              <w:bottom w:val="single" w:color="auto" w:sz="4" w:space="0"/>
            </w:tcBorders>
            <w:noWrap w:val="0"/>
            <w:vAlign w:val="center"/>
          </w:tcPr>
          <w:p>
            <w:pPr>
              <w:spacing w:line="240" w:lineRule="exact"/>
              <w:rPr>
                <w:rFonts w:eastAsia="仿宋_GB2312"/>
                <w:color w:val="000000"/>
                <w:sz w:val="22"/>
                <w:szCs w:val="22"/>
                <w:shd w:val="clear" w:color="auto" w:fill="FFFFFF"/>
              </w:rPr>
            </w:pPr>
            <w:r>
              <w:rPr>
                <w:rFonts w:eastAsia="仿宋_GB2312"/>
                <w:color w:val="000000"/>
                <w:sz w:val="22"/>
                <w:szCs w:val="22"/>
                <w:shd w:val="clear" w:color="auto" w:fill="FFFFFF"/>
              </w:rPr>
              <w:t>土地出让合同</w:t>
            </w:r>
          </w:p>
        </w:tc>
        <w:tc>
          <w:tcPr>
            <w:tcW w:w="707" w:type="dxa"/>
            <w:tcBorders>
              <w:top w:val="single" w:color="auto" w:sz="4" w:space="0"/>
              <w:bottom w:val="single" w:color="auto" w:sz="4" w:space="0"/>
            </w:tcBorders>
            <w:noWrap w:val="0"/>
            <w:vAlign w:val="center"/>
          </w:tcPr>
          <w:p>
            <w:pPr>
              <w:spacing w:line="240" w:lineRule="exact"/>
              <w:jc w:val="center"/>
              <w:rPr>
                <w:rFonts w:eastAsia="仿宋_GB2312"/>
                <w:color w:val="000000"/>
                <w:sz w:val="22"/>
                <w:szCs w:val="22"/>
                <w:shd w:val="clear" w:color="auto" w:fill="FFFFFF"/>
              </w:rPr>
            </w:pPr>
          </w:p>
        </w:tc>
      </w:tr>
    </w:tbl>
    <w:p>
      <w:pPr>
        <w:jc w:val="center"/>
        <w:rPr>
          <w:rFonts w:hint="eastAsia" w:ascii="仿宋" w:hAnsi="仿宋" w:eastAsia="仿宋" w:cs="仿宋_GB2312"/>
          <w:b/>
          <w:bCs/>
          <w:sz w:val="32"/>
          <w:szCs w:val="32"/>
          <w:lang w:eastAsia="zh-CN"/>
        </w:rPr>
      </w:pPr>
    </w:p>
    <w:p>
      <w:pPr>
        <w:jc w:val="center"/>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办理时限</w:t>
      </w:r>
    </w:p>
    <w:p>
      <w:pPr>
        <w:adjustRightInd w:val="0"/>
        <w:spacing w:line="560" w:lineRule="exact"/>
        <w:rPr>
          <w:rFonts w:hint="eastAsia" w:ascii="仿宋_GB2312" w:eastAsia="仿宋_GB2312"/>
          <w:color w:val="000000"/>
          <w:sz w:val="32"/>
          <w:szCs w:val="32"/>
        </w:rPr>
      </w:pPr>
      <w:r>
        <w:rPr>
          <w:rFonts w:hint="eastAsia" w:ascii="仿宋_GB2312" w:eastAsia="仿宋_GB2312"/>
          <w:color w:val="000000"/>
          <w:sz w:val="32"/>
          <w:szCs w:val="32"/>
          <w:lang w:val="en-US" w:eastAsia="zh-CN"/>
        </w:rPr>
        <w:t>15</w:t>
      </w:r>
      <w:r>
        <w:rPr>
          <w:rFonts w:hint="eastAsia" w:ascii="仿宋_GB2312" w:eastAsia="仿宋_GB2312"/>
          <w:color w:val="000000"/>
          <w:sz w:val="32"/>
          <w:szCs w:val="32"/>
        </w:rPr>
        <w:t>天（</w:t>
      </w:r>
      <w:bookmarkStart w:id="0" w:name="_GoBack"/>
      <w:bookmarkEnd w:id="0"/>
      <w:r>
        <w:rPr>
          <w:rFonts w:hint="eastAsia" w:ascii="仿宋_GB2312" w:eastAsia="仿宋_GB2312"/>
          <w:color w:val="000000"/>
          <w:sz w:val="32"/>
          <w:szCs w:val="32"/>
        </w:rPr>
        <w:t>不包括公示公告、异议处理、企业整改等时间）。</w:t>
      </w:r>
    </w:p>
    <w:p>
      <w:pPr>
        <w:adjustRightInd w:val="0"/>
        <w:spacing w:line="560" w:lineRule="exact"/>
        <w:rPr>
          <w:rFonts w:hint="eastAsia" w:ascii="仿宋_GB2312" w:eastAsia="仿宋_GB2312"/>
          <w:color w:val="000000"/>
          <w:sz w:val="32"/>
          <w:szCs w:val="32"/>
        </w:rPr>
      </w:pPr>
    </w:p>
    <w:p>
      <w:pPr>
        <w:jc w:val="center"/>
        <w:rPr>
          <w:rFonts w:hint="eastAsia" w:ascii="仿宋" w:hAnsi="仿宋" w:eastAsia="仿宋" w:cs="仿宋"/>
          <w:b/>
          <w:bCs/>
          <w:color w:val="000000"/>
          <w:sz w:val="32"/>
          <w:szCs w:val="32"/>
          <w:lang w:val="en-US" w:eastAsia="zh-CN"/>
        </w:rPr>
      </w:pPr>
      <w:r>
        <w:rPr>
          <w:rFonts w:hint="eastAsia" w:ascii="仿宋" w:hAnsi="仿宋" w:eastAsia="仿宋" w:cs="仿宋"/>
          <w:b/>
          <w:bCs/>
          <w:color w:val="000000"/>
          <w:sz w:val="32"/>
          <w:szCs w:val="32"/>
          <w:lang w:val="en-US" w:eastAsia="zh-CN"/>
        </w:rPr>
        <w:t>结果送达</w:t>
      </w:r>
    </w:p>
    <w:p>
      <w:pPr>
        <w:adjustRightInd w:val="0"/>
        <w:spacing w:line="560" w:lineRule="exact"/>
        <w:rPr>
          <w:rFonts w:hint="eastAsia" w:ascii="仿宋_GB2312" w:eastAsia="仿宋_GB2312"/>
          <w:color w:val="000000"/>
          <w:sz w:val="32"/>
          <w:szCs w:val="32"/>
        </w:rPr>
      </w:pPr>
      <w:r>
        <w:rPr>
          <w:rFonts w:hint="eastAsia" w:ascii="仿宋_GB2312" w:eastAsia="仿宋_GB2312"/>
          <w:color w:val="000000"/>
          <w:sz w:val="32"/>
          <w:szCs w:val="32"/>
        </w:rPr>
        <w:t>送达方式：当场送达、快递送达或电子文件网上送达。</w:t>
      </w:r>
    </w:p>
    <w:p>
      <w:pPr>
        <w:adjustRightInd w:val="0"/>
        <w:spacing w:line="560" w:lineRule="exact"/>
        <w:rPr>
          <w:rFonts w:hint="eastAsia" w:ascii="仿宋_GB2312" w:eastAsia="仿宋_GB2312"/>
          <w:color w:val="000000"/>
          <w:sz w:val="32"/>
          <w:szCs w:val="32"/>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咨询途径</w:t>
      </w:r>
    </w:p>
    <w:p>
      <w:pPr>
        <w:adjustRightInd w:val="0"/>
        <w:spacing w:line="560" w:lineRule="exact"/>
        <w:rPr>
          <w:rFonts w:hint="eastAsia" w:ascii="仿宋_GB2312" w:eastAsia="仿宋_GB2312"/>
          <w:color w:val="000000"/>
          <w:sz w:val="32"/>
          <w:szCs w:val="32"/>
        </w:rPr>
      </w:pPr>
      <w:r>
        <w:rPr>
          <w:rFonts w:hint="eastAsia" w:ascii="仿宋_GB2312" w:eastAsia="仿宋_GB2312"/>
          <w:color w:val="000000"/>
          <w:sz w:val="32"/>
          <w:szCs w:val="32"/>
        </w:rPr>
        <w:t>0576-88685178。</w:t>
      </w:r>
    </w:p>
    <w:p>
      <w:pPr>
        <w:jc w:val="center"/>
        <w:rPr>
          <w:rFonts w:hint="eastAsia" w:ascii="仿宋" w:hAnsi="仿宋" w:eastAsia="仿宋" w:cs="仿宋_GB2312"/>
          <w:b/>
          <w:bCs/>
          <w:sz w:val="32"/>
          <w:szCs w:val="32"/>
          <w:lang w:val="en-US" w:eastAsia="zh-CN"/>
        </w:rPr>
      </w:pPr>
      <w:r>
        <w:rPr>
          <w:rFonts w:hint="eastAsia" w:ascii="仿宋" w:hAnsi="仿宋" w:eastAsia="仿宋" w:cs="仿宋_GB2312"/>
          <w:b/>
          <w:bCs/>
          <w:sz w:val="32"/>
          <w:szCs w:val="32"/>
          <w:lang w:val="en-US" w:eastAsia="zh-CN"/>
        </w:rPr>
        <w:t>监督投诉电话</w:t>
      </w:r>
    </w:p>
    <w:p>
      <w:pPr>
        <w:adjustRightInd w:val="0"/>
        <w:spacing w:line="560" w:lineRule="exact"/>
        <w:rPr>
          <w:rFonts w:hint="eastAsia" w:ascii="仿宋_GB2312" w:eastAsia="仿宋_GB2312"/>
          <w:color w:val="000000"/>
          <w:sz w:val="32"/>
          <w:szCs w:val="32"/>
        </w:rPr>
      </w:pPr>
      <w:r>
        <w:rPr>
          <w:rFonts w:hint="eastAsia" w:ascii="仿宋_GB2312" w:eastAsia="仿宋_GB2312"/>
          <w:color w:val="000000"/>
          <w:sz w:val="32"/>
          <w:szCs w:val="32"/>
        </w:rPr>
        <w:t>0576-88209323。</w:t>
      </w:r>
    </w:p>
    <w:p>
      <w:pPr>
        <w:adjustRightInd w:val="0"/>
        <w:spacing w:line="560" w:lineRule="exact"/>
        <w:rPr>
          <w:rFonts w:hint="eastAsia" w:ascii="仿宋_GB2312" w:eastAsia="仿宋_GB2312"/>
          <w:color w:val="000000"/>
          <w:sz w:val="32"/>
          <w:szCs w:val="32"/>
        </w:rPr>
      </w:pPr>
    </w:p>
    <w:p>
      <w:pPr>
        <w:jc w:val="center"/>
        <w:rPr>
          <w:rFonts w:hint="eastAsia" w:ascii="仿宋" w:hAnsi="仿宋" w:eastAsia="仿宋" w:cs="仿宋_GB2312"/>
          <w:b/>
          <w:bCs/>
          <w:sz w:val="32"/>
          <w:szCs w:val="32"/>
          <w:lang w:eastAsia="zh-CN"/>
        </w:rPr>
      </w:pPr>
      <w:r>
        <w:rPr>
          <w:rFonts w:hint="eastAsia" w:ascii="仿宋" w:hAnsi="仿宋" w:eastAsia="仿宋" w:cs="仿宋_GB2312"/>
          <w:b/>
          <w:bCs/>
          <w:sz w:val="32"/>
          <w:szCs w:val="32"/>
          <w:lang w:eastAsia="zh-CN"/>
        </w:rPr>
        <w:t>办公地址和时间</w:t>
      </w:r>
    </w:p>
    <w:p>
      <w:pPr>
        <w:adjustRightInd w:val="0"/>
        <w:spacing w:line="560" w:lineRule="exac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办公地址：台州市人民政府行政服务中心（台州市开发大道692号广达嘉苑3号楼）一楼投资</w:t>
      </w:r>
      <w:r>
        <w:rPr>
          <w:rFonts w:hint="eastAsia" w:ascii="仿宋_GB2312" w:eastAsia="仿宋_GB2312"/>
          <w:color w:val="000000"/>
          <w:sz w:val="32"/>
          <w:szCs w:val="32"/>
        </w:rPr>
        <w:t>项目专窗。</w:t>
      </w:r>
    </w:p>
    <w:p>
      <w:pPr>
        <w:jc w:val="left"/>
        <w:rPr>
          <w:rFonts w:hint="eastAsia" w:ascii="仿宋" w:hAnsi="仿宋" w:eastAsia="仿宋" w:cs="仿宋_GB2312"/>
          <w:sz w:val="32"/>
          <w:szCs w:val="32"/>
          <w:lang w:eastAsia="zh-CN"/>
        </w:rPr>
      </w:pPr>
      <w:r>
        <w:rPr>
          <w:rFonts w:hint="eastAsia" w:ascii="仿宋" w:hAnsi="仿宋" w:eastAsia="仿宋" w:cs="仿宋_GB2312"/>
          <w:sz w:val="32"/>
          <w:szCs w:val="32"/>
          <w:lang w:eastAsia="zh-CN"/>
        </w:rPr>
        <w:t>办公时间：工作日夏季：上午8:30-12:00，下午2:00-5:00；冬季：上午8:30-12:00，下午1:30-4:30。</w:t>
      </w:r>
    </w:p>
    <w:p>
      <w:pPr>
        <w:adjustRightInd w:val="0"/>
        <w:spacing w:line="560" w:lineRule="exact"/>
        <w:rPr>
          <w:rFonts w:hint="eastAsia" w:ascii="仿宋_GB2312" w:eastAsia="仿宋_GB2312"/>
          <w:color w:val="000000"/>
          <w:sz w:val="32"/>
          <w:szCs w:val="32"/>
        </w:rPr>
      </w:pPr>
    </w:p>
    <w:p>
      <w:pPr>
        <w:spacing w:line="360" w:lineRule="auto"/>
        <w:jc w:val="center"/>
        <w:rPr>
          <w:rFonts w:hint="eastAsia" w:ascii="仿宋_GB2312" w:eastAsia="仿宋_GB2312"/>
          <w:color w:val="000000"/>
          <w:sz w:val="32"/>
          <w:szCs w:val="32"/>
        </w:rPr>
      </w:pPr>
      <w:r>
        <w:rPr>
          <w:rFonts w:hint="eastAsia" w:ascii="仿宋" w:hAnsi="仿宋" w:eastAsia="仿宋" w:cs="仿宋"/>
          <w:b/>
          <w:bCs/>
          <w:i w:val="0"/>
          <w:iCs w:val="0"/>
          <w:sz w:val="32"/>
          <w:szCs w:val="32"/>
        </w:rPr>
        <w:t>流程图</w:t>
      </w:r>
    </w:p>
    <w:p>
      <w:pPr>
        <w:jc w:val="center"/>
        <w:rPr>
          <w:b/>
          <w:bCs/>
          <w:color w:val="000000"/>
        </w:rPr>
      </w:pPr>
      <w:r>
        <w:rPr>
          <w:b/>
          <w:bCs/>
          <w:color w:val="000000"/>
        </w:rPr>
        <w:object>
          <v:shape id="_x0000_i1025" o:spt="75" type="#_x0000_t75" style="height:375.85pt;width:286pt;" o:ole="t" filled="f" o:preferrelative="t" stroked="f" coordsize="21600,21600">
            <v:path/>
            <v:fill on="f" focussize="0,0"/>
            <v:stroke on="f"/>
            <v:imagedata r:id="rId5" gain="93622f" blacklevel="-5898f" grayscale="t" o:title=""/>
            <o:lock v:ext="edit" aspectratio="t"/>
            <w10:wrap type="none"/>
            <w10:anchorlock/>
          </v:shape>
          <o:OLEObject Type="Embed" ProgID="Visio.Drawing.11" ShapeID="_x0000_i1025" DrawAspect="Content" ObjectID="_1468075725" r:id="rId4">
            <o:LockedField>false</o:LockedField>
          </o:OLEObject>
        </w:object>
      </w: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3.0平台阶段申报流程</w:t>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r>
        <w:rPr>
          <w:rFonts w:hint="eastAsia" w:ascii="仿宋" w:hAnsi="仿宋" w:eastAsia="仿宋" w:cs="仿宋"/>
          <w:sz w:val="28"/>
          <w:szCs w:val="28"/>
        </w:rPr>
        <w:t>1</w:t>
      </w:r>
      <w:r>
        <w:rPr>
          <w:rFonts w:hint="eastAsia" w:ascii="仿宋" w:hAnsi="仿宋" w:eastAsia="仿宋" w:cs="仿宋"/>
          <w:sz w:val="28"/>
          <w:szCs w:val="28"/>
          <w:lang w:eastAsia="zh-CN"/>
        </w:rPr>
        <w:t>.</w:t>
      </w:r>
      <w:r>
        <w:rPr>
          <w:rFonts w:hint="eastAsia" w:ascii="仿宋" w:hAnsi="仿宋" w:eastAsia="仿宋" w:cs="仿宋"/>
          <w:sz w:val="28"/>
          <w:szCs w:val="28"/>
        </w:rPr>
        <w:t>赋码机关为申报的项目赋码后，到【项目申报】下面点击【有码项目报批】</w:t>
      </w:r>
      <w:r>
        <w:rPr>
          <w:rFonts w:hint="eastAsia" w:ascii="仿宋" w:hAnsi="仿宋" w:eastAsia="仿宋" w:cs="仿宋"/>
          <w:sz w:val="28"/>
          <w:szCs w:val="28"/>
          <w:lang w:eastAsia="zh-CN"/>
        </w:rPr>
        <w:t>。</w:t>
      </w:r>
    </w:p>
    <w:p>
      <w:pPr>
        <w:outlineLvl w:val="9"/>
      </w:pPr>
      <w:r>
        <w:drawing>
          <wp:inline distT="0" distB="0" distL="114300" distR="114300">
            <wp:extent cx="5083175" cy="2385695"/>
            <wp:effectExtent l="0" t="0" r="3175" b="1460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5083175" cy="2385695"/>
                    </a:xfrm>
                    <a:prstGeom prst="rect">
                      <a:avLst/>
                    </a:prstGeom>
                    <a:noFill/>
                    <a:ln>
                      <a:noFill/>
                    </a:ln>
                  </pic:spPr>
                </pic:pic>
              </a:graphicData>
            </a:graphic>
          </wp:inline>
        </w:drawing>
      </w:r>
    </w:p>
    <w:p>
      <w:pPr>
        <w:keepNext w:val="0"/>
        <w:keepLines w:val="0"/>
        <w:pageBreakBefore w:val="0"/>
        <w:widowControl w:val="0"/>
        <w:numPr>
          <w:ilvl w:val="0"/>
          <w:numId w:val="1"/>
        </w:numPr>
        <w:kinsoku/>
        <w:wordWrap/>
        <w:overflowPunct/>
        <w:topLinePunct w:val="0"/>
        <w:autoSpaceDE/>
        <w:autoSpaceDN/>
        <w:bidi w:val="0"/>
        <w:adjustRightInd/>
        <w:snapToGrid/>
        <w:spacing w:line="400" w:lineRule="exact"/>
        <w:jc w:val="left"/>
        <w:textAlignment w:val="auto"/>
        <w:outlineLvl w:val="9"/>
      </w:pPr>
      <w:r>
        <w:rPr>
          <w:rFonts w:hint="eastAsia" w:ascii="仿宋" w:hAnsi="仿宋" w:eastAsia="仿宋" w:cs="仿宋"/>
          <w:sz w:val="28"/>
          <w:szCs w:val="28"/>
        </w:rPr>
        <w:t>进入有码项目列表，可以查看到所有已经被赋码的项目，根据“项目名称”和“项目代码”查询想要进行报批的项目。选择要报批的项目，点击【阶段报批】</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 xml:space="preserve"> </w:t>
      </w:r>
    </w:p>
    <w:p>
      <w:pPr>
        <w:numPr>
          <w:ilvl w:val="0"/>
          <w:numId w:val="0"/>
        </w:numPr>
        <w:jc w:val="left"/>
        <w:outlineLvl w:val="9"/>
      </w:pPr>
      <w:r>
        <w:drawing>
          <wp:inline distT="0" distB="0" distL="114300" distR="114300">
            <wp:extent cx="5273040" cy="2475230"/>
            <wp:effectExtent l="0" t="0" r="381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3040" cy="247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eastAsia="仿宋"/>
          <w:lang w:eastAsia="zh-CN"/>
        </w:rPr>
      </w:pPr>
      <w:r>
        <w:rPr>
          <w:rFonts w:hint="eastAsia" w:ascii="仿宋" w:hAnsi="仿宋" w:eastAsia="仿宋" w:cs="仿宋"/>
          <w:sz w:val="28"/>
          <w:szCs w:val="28"/>
        </w:rPr>
        <w:t>3</w:t>
      </w:r>
      <w:r>
        <w:rPr>
          <w:rFonts w:hint="eastAsia" w:ascii="仿宋" w:hAnsi="仿宋" w:eastAsia="仿宋" w:cs="仿宋"/>
          <w:sz w:val="28"/>
          <w:szCs w:val="28"/>
          <w:lang w:eastAsia="zh-CN"/>
        </w:rPr>
        <w:t>.</w:t>
      </w:r>
      <w:r>
        <w:rPr>
          <w:rFonts w:hint="eastAsia" w:ascii="仿宋" w:hAnsi="仿宋" w:eastAsia="仿宋" w:cs="仿宋"/>
          <w:sz w:val="28"/>
          <w:szCs w:val="28"/>
        </w:rPr>
        <w:t>点击【</w:t>
      </w:r>
      <w:r>
        <w:rPr>
          <w:rFonts w:hint="eastAsia" w:ascii="仿宋" w:hAnsi="仿宋" w:eastAsia="仿宋" w:cs="仿宋"/>
          <w:sz w:val="28"/>
          <w:szCs w:val="28"/>
          <w:lang w:eastAsia="zh-CN"/>
        </w:rPr>
        <w:t>立项</w:t>
      </w:r>
      <w:r>
        <w:rPr>
          <w:rFonts w:hint="eastAsia" w:ascii="仿宋" w:hAnsi="仿宋" w:eastAsia="仿宋" w:cs="仿宋"/>
          <w:sz w:val="28"/>
          <w:szCs w:val="28"/>
        </w:rPr>
        <w:t>申报】</w:t>
      </w:r>
      <w:r>
        <w:rPr>
          <w:rFonts w:hint="eastAsia" w:ascii="仿宋" w:hAnsi="仿宋" w:eastAsia="仿宋" w:cs="仿宋"/>
          <w:sz w:val="28"/>
          <w:szCs w:val="28"/>
          <w:lang w:eastAsia="zh-CN"/>
        </w:rPr>
        <w:t>。</w:t>
      </w:r>
    </w:p>
    <w:p>
      <w:pPr>
        <w:ind w:firstLine="0" w:firstLineChars="0"/>
        <w:jc w:val="center"/>
      </w:pPr>
      <w:r>
        <w:drawing>
          <wp:inline distT="0" distB="0" distL="114300" distR="114300">
            <wp:extent cx="5273040" cy="2475230"/>
            <wp:effectExtent l="0" t="0" r="3810" b="1270"/>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8"/>
                    <a:stretch>
                      <a:fillRect/>
                    </a:stretch>
                  </pic:blipFill>
                  <pic:spPr>
                    <a:xfrm>
                      <a:off x="0" y="0"/>
                      <a:ext cx="5273040" cy="247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rPr>
      </w:pPr>
      <w:r>
        <w:rPr>
          <w:rFonts w:hint="eastAsia" w:ascii="仿宋" w:hAnsi="仿宋" w:eastAsia="仿宋" w:cs="仿宋"/>
          <w:sz w:val="28"/>
          <w:szCs w:val="28"/>
        </w:rPr>
        <w:t>4</w:t>
      </w:r>
      <w:r>
        <w:rPr>
          <w:rFonts w:hint="eastAsia" w:ascii="仿宋" w:hAnsi="仿宋" w:eastAsia="仿宋" w:cs="仿宋"/>
          <w:sz w:val="28"/>
          <w:szCs w:val="28"/>
          <w:lang w:eastAsia="zh-CN"/>
        </w:rPr>
        <w:t>.</w:t>
      </w:r>
      <w:r>
        <w:rPr>
          <w:rFonts w:hint="eastAsia" w:ascii="仿宋" w:hAnsi="仿宋" w:eastAsia="仿宋" w:cs="仿宋"/>
          <w:sz w:val="28"/>
          <w:szCs w:val="28"/>
        </w:rPr>
        <w:t>点击【</w:t>
      </w:r>
      <w:r>
        <w:rPr>
          <w:rFonts w:hint="eastAsia" w:ascii="仿宋" w:hAnsi="仿宋" w:eastAsia="仿宋" w:cs="仿宋"/>
          <w:sz w:val="28"/>
          <w:szCs w:val="28"/>
          <w:lang w:eastAsia="zh-CN"/>
        </w:rPr>
        <w:t>立项</w:t>
      </w:r>
      <w:r>
        <w:rPr>
          <w:rFonts w:hint="eastAsia" w:ascii="仿宋" w:hAnsi="仿宋" w:eastAsia="仿宋" w:cs="仿宋"/>
          <w:sz w:val="28"/>
          <w:szCs w:val="28"/>
        </w:rPr>
        <w:t>阶段申请】按钮，开始</w:t>
      </w:r>
      <w:r>
        <w:rPr>
          <w:rFonts w:hint="eastAsia" w:ascii="仿宋" w:hAnsi="仿宋" w:eastAsia="仿宋" w:cs="仿宋"/>
          <w:sz w:val="28"/>
          <w:szCs w:val="28"/>
          <w:lang w:eastAsia="zh-CN"/>
        </w:rPr>
        <w:t>立项</w:t>
      </w:r>
      <w:r>
        <w:rPr>
          <w:rFonts w:hint="eastAsia" w:ascii="仿宋" w:hAnsi="仿宋" w:eastAsia="仿宋" w:cs="仿宋"/>
          <w:sz w:val="28"/>
          <w:szCs w:val="28"/>
        </w:rPr>
        <w:t>阶段申请</w:t>
      </w:r>
      <w:r>
        <w:rPr>
          <w:rFonts w:hint="eastAsia" w:ascii="仿宋" w:hAnsi="仿宋" w:eastAsia="仿宋" w:cs="仿宋"/>
          <w:sz w:val="28"/>
          <w:szCs w:val="28"/>
          <w:lang w:eastAsia="zh-CN"/>
        </w:rPr>
        <w:t>。</w:t>
      </w:r>
    </w:p>
    <w:p>
      <w:pPr>
        <w:ind w:firstLine="0" w:firstLineChars="0"/>
      </w:pPr>
      <w:r>
        <w:drawing>
          <wp:inline distT="0" distB="0" distL="114300" distR="114300">
            <wp:extent cx="5273040" cy="2475230"/>
            <wp:effectExtent l="0" t="0" r="3810" b="127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9"/>
                    <a:stretch>
                      <a:fillRect/>
                    </a:stretch>
                  </pic:blipFill>
                  <pic:spPr>
                    <a:xfrm>
                      <a:off x="0" y="0"/>
                      <a:ext cx="5273040" cy="247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rPr>
        <w:t>第二步“一次性申报”，此时会提示“相关审批部门正在根据您填报的立项申表信息，确定立项阶段一次性申报所需的表单和申报材料。”时间期限为1个工作日</w:t>
      </w:r>
      <w:r>
        <w:rPr>
          <w:rFonts w:hint="eastAsia" w:ascii="仿宋" w:hAnsi="仿宋" w:eastAsia="仿宋" w:cs="仿宋"/>
          <w:sz w:val="28"/>
          <w:szCs w:val="28"/>
          <w:lang w:eastAsia="zh-CN"/>
        </w:rPr>
        <w:t>。</w:t>
      </w:r>
    </w:p>
    <w:p>
      <w:pPr>
        <w:ind w:firstLine="0" w:firstLineChars="0"/>
      </w:pPr>
      <w:r>
        <w:drawing>
          <wp:inline distT="0" distB="0" distL="114300" distR="114300">
            <wp:extent cx="5273040" cy="2475230"/>
            <wp:effectExtent l="0" t="0" r="3810" b="127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pic:cNvPicPr>
                      <a:picLocks noChangeAspect="1"/>
                    </pic:cNvPicPr>
                  </pic:nvPicPr>
                  <pic:blipFill>
                    <a:blip r:embed="rId10"/>
                    <a:stretch>
                      <a:fillRect/>
                    </a:stretch>
                  </pic:blipFill>
                  <pic:spPr>
                    <a:xfrm>
                      <a:off x="0" y="0"/>
                      <a:ext cx="5273040" cy="247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ind w:firstLine="0"/>
        <w:textAlignment w:val="auto"/>
        <w:rPr>
          <w:rFonts w:hint="eastAsia" w:ascii="仿宋" w:hAnsi="仿宋" w:eastAsia="仿宋" w:cs="仿宋"/>
          <w:sz w:val="28"/>
          <w:szCs w:val="28"/>
          <w:lang w:eastAsia="zh-CN"/>
        </w:rPr>
      </w:pPr>
      <w:r>
        <w:rPr>
          <w:rFonts w:hint="eastAsia" w:ascii="仿宋" w:hAnsi="仿宋" w:eastAsia="仿宋" w:cs="仿宋"/>
          <w:sz w:val="28"/>
          <w:szCs w:val="28"/>
        </w:rPr>
        <w:t>6</w:t>
      </w:r>
      <w:r>
        <w:rPr>
          <w:rFonts w:hint="eastAsia" w:ascii="仿宋" w:hAnsi="仿宋" w:eastAsia="仿宋" w:cs="仿宋"/>
          <w:sz w:val="28"/>
          <w:szCs w:val="28"/>
          <w:lang w:eastAsia="zh-CN"/>
        </w:rPr>
        <w:t>.</w:t>
      </w:r>
      <w:r>
        <w:rPr>
          <w:rFonts w:hint="eastAsia" w:ascii="仿宋" w:hAnsi="仿宋" w:eastAsia="仿宋" w:cs="仿宋"/>
          <w:sz w:val="28"/>
          <w:szCs w:val="28"/>
        </w:rPr>
        <w:t>审批人员</w:t>
      </w:r>
      <w:r>
        <w:rPr>
          <w:rFonts w:hint="eastAsia" w:ascii="仿宋" w:hAnsi="仿宋" w:eastAsia="仿宋" w:cs="仿宋"/>
          <w:sz w:val="28"/>
          <w:szCs w:val="28"/>
          <w:lang w:eastAsia="zh-CN"/>
        </w:rPr>
        <w:t>在</w:t>
      </w:r>
      <w:r>
        <w:rPr>
          <w:rFonts w:hint="eastAsia" w:ascii="仿宋" w:hAnsi="仿宋" w:eastAsia="仿宋" w:cs="仿宋"/>
          <w:sz w:val="28"/>
          <w:szCs w:val="28"/>
        </w:rPr>
        <w:t>确定好一次性申报所需要的表单和申报材料之后，会通知项目单位用户，登录系统后，会在“一次性申报”中查看到应办事项，点击【</w:t>
      </w:r>
      <w:r>
        <w:rPr>
          <w:rFonts w:hint="eastAsia" w:ascii="仿宋" w:hAnsi="仿宋" w:eastAsia="仿宋" w:cs="仿宋"/>
          <w:sz w:val="28"/>
          <w:szCs w:val="28"/>
          <w:lang w:eastAsia="zh-CN"/>
        </w:rPr>
        <w:t>立项</w:t>
      </w:r>
      <w:r>
        <w:rPr>
          <w:rFonts w:hint="eastAsia" w:ascii="仿宋" w:hAnsi="仿宋" w:eastAsia="仿宋" w:cs="仿宋"/>
          <w:sz w:val="28"/>
          <w:szCs w:val="28"/>
        </w:rPr>
        <w:t>阶段申报入口】按钮，填写表单和上传材料</w:t>
      </w:r>
      <w:r>
        <w:rPr>
          <w:rFonts w:hint="eastAsia" w:ascii="仿宋" w:hAnsi="仿宋" w:eastAsia="仿宋" w:cs="仿宋"/>
          <w:sz w:val="28"/>
          <w:szCs w:val="28"/>
          <w:lang w:eastAsia="zh-CN"/>
        </w:rPr>
        <w:t>。</w:t>
      </w:r>
    </w:p>
    <w:p>
      <w:pPr>
        <w:ind w:firstLine="0" w:firstLineChars="0"/>
      </w:pPr>
      <w:r>
        <w:drawing>
          <wp:inline distT="0" distB="0" distL="114300" distR="114300">
            <wp:extent cx="5273040" cy="2475230"/>
            <wp:effectExtent l="0" t="0" r="3810" b="127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1"/>
                    <a:stretch>
                      <a:fillRect/>
                    </a:stretch>
                  </pic:blipFill>
                  <pic:spPr>
                    <a:xfrm>
                      <a:off x="0" y="0"/>
                      <a:ext cx="5273040" cy="24752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7.</w:t>
      </w:r>
      <w:r>
        <w:rPr>
          <w:rFonts w:hint="eastAsia" w:ascii="仿宋" w:hAnsi="仿宋" w:eastAsia="仿宋" w:cs="仿宋"/>
          <w:sz w:val="28"/>
          <w:szCs w:val="28"/>
        </w:rPr>
        <w:t>填报材料分为【立项申请材料】和【立项申请表单】两部分，首先点击【立项申请材料】按钮</w:t>
      </w:r>
      <w:r>
        <w:rPr>
          <w:rFonts w:hint="eastAsia" w:ascii="仿宋" w:hAnsi="仿宋" w:eastAsia="仿宋" w:cs="仿宋"/>
          <w:sz w:val="28"/>
          <w:szCs w:val="28"/>
          <w:lang w:eastAsia="zh-CN"/>
        </w:rPr>
        <w:t>，</w:t>
      </w:r>
      <w:r>
        <w:rPr>
          <w:rFonts w:hint="eastAsia" w:ascii="仿宋" w:hAnsi="仿宋" w:eastAsia="仿宋" w:cs="仿宋"/>
          <w:sz w:val="28"/>
          <w:szCs w:val="28"/>
        </w:rPr>
        <w:t>选择需要上传的材料，点击【上传材料】</w:t>
      </w:r>
      <w:r>
        <w:rPr>
          <w:rFonts w:hint="eastAsia" w:ascii="仿宋" w:hAnsi="仿宋" w:eastAsia="仿宋" w:cs="仿宋"/>
          <w:sz w:val="28"/>
          <w:szCs w:val="28"/>
          <w:lang w:eastAsia="zh-CN"/>
        </w:rPr>
        <w:t>。</w:t>
      </w:r>
    </w:p>
    <w:p>
      <w:pPr>
        <w:ind w:firstLine="0" w:firstLineChars="0"/>
        <w:rPr>
          <w:rFonts w:hint="eastAsia" w:ascii="仿宋" w:hAnsi="仿宋" w:eastAsia="仿宋" w:cs="仿宋"/>
          <w:b/>
          <w:bCs/>
          <w:sz w:val="32"/>
          <w:szCs w:val="32"/>
          <w:lang w:val="en-US" w:eastAsia="zh-CN"/>
        </w:rPr>
      </w:pPr>
      <w:r>
        <w:drawing>
          <wp:inline distT="0" distB="0" distL="114300" distR="114300">
            <wp:extent cx="5273040" cy="2475230"/>
            <wp:effectExtent l="0" t="0" r="3810" b="1270"/>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12"/>
                    <a:stretch>
                      <a:fillRect/>
                    </a:stretch>
                  </pic:blipFill>
                  <pic:spPr>
                    <a:xfrm>
                      <a:off x="0" y="0"/>
                      <a:ext cx="5273040" cy="2475230"/>
                    </a:xfrm>
                    <a:prstGeom prst="rect">
                      <a:avLst/>
                    </a:prstGeom>
                    <a:noFill/>
                    <a:ln>
                      <a:noFill/>
                    </a:ln>
                  </pic:spPr>
                </pic:pic>
              </a:graphicData>
            </a:graphic>
          </wp:inline>
        </w:drawing>
      </w:r>
    </w:p>
    <w:p>
      <w:r>
        <w:rPr>
          <w:rFonts w:hint="eastAsia" w:ascii="仿宋" w:hAnsi="仿宋" w:eastAsia="仿宋" w:cs="仿宋"/>
          <w:sz w:val="28"/>
          <w:szCs w:val="28"/>
          <w:lang w:val="en-US" w:eastAsia="zh-CN"/>
        </w:rPr>
        <w:t>8.申请表填写操作并提交，</w:t>
      </w:r>
      <w:r>
        <w:rPr>
          <w:rFonts w:hint="eastAsia" w:ascii="仿宋" w:hAnsi="仿宋" w:eastAsia="仿宋" w:cs="仿宋"/>
          <w:sz w:val="28"/>
          <w:szCs w:val="28"/>
          <w:lang w:eastAsia="zh-CN"/>
        </w:rPr>
        <w:t>立项</w:t>
      </w:r>
      <w:r>
        <w:rPr>
          <w:rFonts w:hint="eastAsia" w:ascii="仿宋" w:hAnsi="仿宋" w:eastAsia="仿宋" w:cs="仿宋"/>
          <w:sz w:val="28"/>
          <w:szCs w:val="28"/>
        </w:rPr>
        <w:t>阶段申报完成</w:t>
      </w:r>
      <w:r>
        <w:rPr>
          <w:rFonts w:hint="eastAsia" w:ascii="仿宋" w:hAnsi="仿宋" w:eastAsia="仿宋" w:cs="仿宋"/>
          <w:sz w:val="28"/>
          <w:szCs w:val="28"/>
          <w:lang w:eastAsia="zh-CN"/>
        </w:rPr>
        <w:t>。</w:t>
      </w:r>
    </w:p>
    <w:p>
      <w:pPr>
        <w:jc w:val="both"/>
        <w:rPr>
          <w:b/>
          <w:bCs/>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958472"/>
    <w:multiLevelType w:val="singleLevel"/>
    <w:tmpl w:val="E1958472"/>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7D059C"/>
    <w:rsid w:val="04F72BDE"/>
    <w:rsid w:val="0E7D059C"/>
    <w:rsid w:val="0FD340B4"/>
    <w:rsid w:val="37225357"/>
    <w:rsid w:val="38145526"/>
    <w:rsid w:val="3C3E20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keepNext/>
      <w:keepLines/>
      <w:widowControl w:val="0"/>
      <w:spacing w:before="260" w:after="260" w:line="415" w:lineRule="auto"/>
      <w:outlineLvl w:val="1"/>
    </w:pPr>
    <w:rPr>
      <w:rFonts w:ascii="Arial" w:hAnsi="Arial" w:eastAsia="黑体"/>
      <w:b/>
      <w:bCs/>
      <w:sz w:val="32"/>
      <w:szCs w:val="32"/>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2021-02-25T01:04:00Z</dcterms:created>
  <dc:creator>三个半</dc:creator>
  <cp:lastModifiedBy>三个半</cp:lastModifiedBy>
  <dcterms:modified xsi:type="dcterms:W3CDTF">2021-03-04T00:44:47Z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